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31D7" w:rsidRDefault="00DD42C3">
      <w:pPr>
        <w:spacing w:after="100"/>
        <w:rPr>
          <w:b/>
          <w:sz w:val="24"/>
        </w:rPr>
      </w:pPr>
      <w:r>
        <w:rPr>
          <w:b/>
          <w:sz w:val="24"/>
        </w:rPr>
        <w:t xml:space="preserve">Erfahrungsbericht über den Aufenthalt an der Partneruniversität </w:t>
      </w:r>
    </w:p>
    <w:p w:rsidR="000031D7" w:rsidRDefault="00DD42C3">
      <w:pPr>
        <w:rPr>
          <w:sz w:val="20"/>
        </w:rPr>
      </w:pPr>
      <w:r>
        <w:rPr>
          <w:sz w:val="20"/>
        </w:rPr>
        <w:t>Max. 2-3 Seiten in Deutsch oder Englisch in ganzen Sätzen (keine</w:t>
      </w:r>
      <w:r>
        <w:t> </w:t>
      </w:r>
      <w:r>
        <w:rPr>
          <w:sz w:val="20"/>
        </w:rPr>
        <w:t>Stichwörter)</w:t>
      </w:r>
    </w:p>
    <w:tbl>
      <w:tblPr>
        <w:tblW w:w="0" w:type="auto"/>
        <w:tblInd w:w="-10" w:type="dxa"/>
        <w:tblLayout w:type="fixed"/>
        <w:tblLook w:val="0000" w:firstRow="0" w:lastRow="0" w:firstColumn="0" w:lastColumn="0" w:noHBand="0" w:noVBand="0"/>
      </w:tblPr>
      <w:tblGrid>
        <w:gridCol w:w="3085"/>
        <w:gridCol w:w="7533"/>
      </w:tblGrid>
      <w:tr w:rsidR="000031D7">
        <w:tc>
          <w:tcPr>
            <w:tcW w:w="3085" w:type="dxa"/>
            <w:tcBorders>
              <w:top w:val="single" w:sz="4" w:space="0" w:color="000000"/>
              <w:left w:val="single" w:sz="4" w:space="0" w:color="000000"/>
              <w:bottom w:val="single" w:sz="4" w:space="0" w:color="000000"/>
            </w:tcBorders>
          </w:tcPr>
          <w:p w:rsidR="000031D7" w:rsidRDefault="00DD42C3">
            <w:pPr>
              <w:snapToGrid w:val="0"/>
              <w:spacing w:after="0" w:line="100" w:lineRule="atLeast"/>
              <w:rPr>
                <w:b/>
                <w:sz w:val="20"/>
              </w:rPr>
            </w:pPr>
            <w:r>
              <w:rPr>
                <w:b/>
                <w:sz w:val="20"/>
              </w:rPr>
              <w:t>Mobilitätsprogramm</w:t>
            </w:r>
          </w:p>
        </w:tc>
        <w:tc>
          <w:tcPr>
            <w:tcW w:w="7533" w:type="dxa"/>
            <w:tcBorders>
              <w:top w:val="single" w:sz="4" w:space="0" w:color="000000"/>
              <w:left w:val="single" w:sz="4" w:space="0" w:color="000000"/>
              <w:bottom w:val="single" w:sz="4" w:space="0" w:color="000000"/>
              <w:right w:val="single" w:sz="4" w:space="0" w:color="000000"/>
            </w:tcBorders>
          </w:tcPr>
          <w:p w:rsidR="000031D7" w:rsidRDefault="00C1784B">
            <w:pPr>
              <w:snapToGrid w:val="0"/>
              <w:spacing w:after="0" w:line="100" w:lineRule="atLeast"/>
              <w:rPr>
                <w:sz w:val="20"/>
              </w:rPr>
            </w:pPr>
            <w:r>
              <w:rPr>
                <w:sz w:val="20"/>
              </w:rPr>
              <w:t>ERASMUS+</w:t>
            </w:r>
          </w:p>
        </w:tc>
      </w:tr>
      <w:tr w:rsidR="000031D7">
        <w:tc>
          <w:tcPr>
            <w:tcW w:w="3085" w:type="dxa"/>
            <w:tcBorders>
              <w:left w:val="single" w:sz="4" w:space="0" w:color="000000"/>
              <w:bottom w:val="single" w:sz="4" w:space="0" w:color="000000"/>
            </w:tcBorders>
          </w:tcPr>
          <w:p w:rsidR="000031D7" w:rsidRDefault="00DD42C3">
            <w:pPr>
              <w:snapToGrid w:val="0"/>
              <w:spacing w:after="0" w:line="100" w:lineRule="atLeast"/>
              <w:rPr>
                <w:b/>
                <w:sz w:val="20"/>
              </w:rPr>
            </w:pPr>
            <w:r>
              <w:rPr>
                <w:b/>
                <w:sz w:val="20"/>
              </w:rPr>
              <w:t>Partneruniversität</w:t>
            </w:r>
          </w:p>
        </w:tc>
        <w:tc>
          <w:tcPr>
            <w:tcW w:w="7533" w:type="dxa"/>
            <w:tcBorders>
              <w:left w:val="single" w:sz="4" w:space="0" w:color="000000"/>
              <w:bottom w:val="single" w:sz="4" w:space="0" w:color="000000"/>
              <w:right w:val="single" w:sz="4" w:space="0" w:color="000000"/>
            </w:tcBorders>
          </w:tcPr>
          <w:p w:rsidR="000031D7" w:rsidRDefault="00075902">
            <w:pPr>
              <w:snapToGrid w:val="0"/>
              <w:spacing w:after="0" w:line="100" w:lineRule="atLeast"/>
              <w:rPr>
                <w:sz w:val="20"/>
              </w:rPr>
            </w:pPr>
            <w:bookmarkStart w:id="0" w:name="_GoBack"/>
            <w:proofErr w:type="spellStart"/>
            <w:r>
              <w:rPr>
                <w:sz w:val="20"/>
              </w:rPr>
              <w:t>Akademia</w:t>
            </w:r>
            <w:proofErr w:type="spellEnd"/>
            <w:r>
              <w:rPr>
                <w:sz w:val="20"/>
              </w:rPr>
              <w:t xml:space="preserve"> Leona </w:t>
            </w:r>
            <w:proofErr w:type="spellStart"/>
            <w:r>
              <w:rPr>
                <w:sz w:val="20"/>
              </w:rPr>
              <w:t>Kozminskiego</w:t>
            </w:r>
            <w:bookmarkEnd w:id="0"/>
            <w:proofErr w:type="spellEnd"/>
          </w:p>
        </w:tc>
      </w:tr>
      <w:tr w:rsidR="000031D7">
        <w:tc>
          <w:tcPr>
            <w:tcW w:w="3085" w:type="dxa"/>
            <w:tcBorders>
              <w:left w:val="single" w:sz="4" w:space="0" w:color="000000"/>
              <w:bottom w:val="single" w:sz="4" w:space="0" w:color="000000"/>
            </w:tcBorders>
          </w:tcPr>
          <w:p w:rsidR="000031D7" w:rsidRDefault="00DD42C3">
            <w:pPr>
              <w:snapToGrid w:val="0"/>
              <w:spacing w:after="0" w:line="100" w:lineRule="atLeast"/>
              <w:rPr>
                <w:b/>
                <w:sz w:val="20"/>
              </w:rPr>
            </w:pPr>
            <w:r>
              <w:rPr>
                <w:b/>
                <w:sz w:val="20"/>
              </w:rPr>
              <w:t>Besuchtes Studienfach</w:t>
            </w:r>
          </w:p>
        </w:tc>
        <w:tc>
          <w:tcPr>
            <w:tcW w:w="7533" w:type="dxa"/>
            <w:tcBorders>
              <w:left w:val="single" w:sz="4" w:space="0" w:color="000000"/>
              <w:bottom w:val="single" w:sz="4" w:space="0" w:color="000000"/>
              <w:right w:val="single" w:sz="4" w:space="0" w:color="000000"/>
            </w:tcBorders>
          </w:tcPr>
          <w:p w:rsidR="000031D7" w:rsidRDefault="00075902">
            <w:pPr>
              <w:snapToGrid w:val="0"/>
              <w:spacing w:after="0" w:line="100" w:lineRule="atLeast"/>
              <w:rPr>
                <w:sz w:val="20"/>
              </w:rPr>
            </w:pPr>
            <w:proofErr w:type="spellStart"/>
            <w:r>
              <w:rPr>
                <w:sz w:val="20"/>
              </w:rPr>
              <w:t>Finance</w:t>
            </w:r>
            <w:proofErr w:type="spellEnd"/>
            <w:r>
              <w:rPr>
                <w:sz w:val="20"/>
              </w:rPr>
              <w:t xml:space="preserve"> &amp; Accounting</w:t>
            </w:r>
          </w:p>
        </w:tc>
      </w:tr>
      <w:tr w:rsidR="000031D7">
        <w:tc>
          <w:tcPr>
            <w:tcW w:w="3085" w:type="dxa"/>
            <w:tcBorders>
              <w:left w:val="single" w:sz="4" w:space="0" w:color="000000"/>
              <w:bottom w:val="single" w:sz="4" w:space="0" w:color="000000"/>
            </w:tcBorders>
          </w:tcPr>
          <w:p w:rsidR="000031D7" w:rsidRDefault="00DD42C3">
            <w:pPr>
              <w:snapToGrid w:val="0"/>
              <w:spacing w:after="0" w:line="100" w:lineRule="atLeast"/>
              <w:rPr>
                <w:b/>
                <w:sz w:val="20"/>
              </w:rPr>
            </w:pPr>
            <w:r>
              <w:rPr>
                <w:b/>
                <w:sz w:val="20"/>
              </w:rPr>
              <w:t>Semester</w:t>
            </w:r>
          </w:p>
        </w:tc>
        <w:tc>
          <w:tcPr>
            <w:tcW w:w="7533" w:type="dxa"/>
            <w:tcBorders>
              <w:left w:val="single" w:sz="4" w:space="0" w:color="000000"/>
              <w:bottom w:val="single" w:sz="4" w:space="0" w:color="000000"/>
              <w:right w:val="single" w:sz="4" w:space="0" w:color="000000"/>
            </w:tcBorders>
          </w:tcPr>
          <w:p w:rsidR="000031D7" w:rsidRDefault="00075902">
            <w:pPr>
              <w:snapToGrid w:val="0"/>
              <w:spacing w:after="0" w:line="100" w:lineRule="atLeast"/>
              <w:rPr>
                <w:sz w:val="20"/>
              </w:rPr>
            </w:pPr>
            <w:r>
              <w:rPr>
                <w:sz w:val="20"/>
              </w:rPr>
              <w:t>3</w:t>
            </w:r>
          </w:p>
        </w:tc>
      </w:tr>
      <w:tr w:rsidR="000031D7" w:rsidRPr="00075902">
        <w:tc>
          <w:tcPr>
            <w:tcW w:w="3085" w:type="dxa"/>
            <w:tcBorders>
              <w:left w:val="single" w:sz="4" w:space="0" w:color="000000"/>
              <w:bottom w:val="single" w:sz="4" w:space="0" w:color="000000"/>
            </w:tcBorders>
          </w:tcPr>
          <w:p w:rsidR="000031D7" w:rsidRDefault="00DD42C3">
            <w:pPr>
              <w:snapToGrid w:val="0"/>
              <w:spacing w:after="0" w:line="100" w:lineRule="atLeast"/>
              <w:rPr>
                <w:sz w:val="20"/>
              </w:rPr>
            </w:pPr>
            <w:r>
              <w:rPr>
                <w:b/>
                <w:sz w:val="20"/>
              </w:rPr>
              <w:t xml:space="preserve">Name und E-Mail </w:t>
            </w:r>
            <w:r>
              <w:rPr>
                <w:sz w:val="20"/>
              </w:rPr>
              <w:t>fakultativ</w:t>
            </w:r>
          </w:p>
        </w:tc>
        <w:tc>
          <w:tcPr>
            <w:tcW w:w="7533" w:type="dxa"/>
            <w:tcBorders>
              <w:left w:val="single" w:sz="4" w:space="0" w:color="000000"/>
              <w:bottom w:val="single" w:sz="4" w:space="0" w:color="000000"/>
              <w:right w:val="single" w:sz="4" w:space="0" w:color="000000"/>
            </w:tcBorders>
          </w:tcPr>
          <w:p w:rsidR="000031D7" w:rsidRPr="00710202" w:rsidRDefault="000031D7">
            <w:pPr>
              <w:snapToGrid w:val="0"/>
              <w:spacing w:after="0" w:line="100" w:lineRule="atLeast"/>
              <w:rPr>
                <w:sz w:val="20"/>
              </w:rPr>
            </w:pPr>
          </w:p>
        </w:tc>
      </w:tr>
    </w:tbl>
    <w:p w:rsidR="000031D7" w:rsidRPr="00710202" w:rsidRDefault="000031D7">
      <w:pPr>
        <w:pBdr>
          <w:bottom w:val="single" w:sz="8" w:space="1" w:color="000000"/>
        </w:pBdr>
        <w:tabs>
          <w:tab w:val="left" w:pos="0"/>
          <w:tab w:val="right" w:leader="underscore" w:pos="10490"/>
        </w:tabs>
        <w:spacing w:before="240" w:after="360"/>
      </w:pPr>
    </w:p>
    <w:tbl>
      <w:tblPr>
        <w:tblW w:w="0" w:type="auto"/>
        <w:tblInd w:w="-10" w:type="dxa"/>
        <w:tblLayout w:type="fixed"/>
        <w:tblLook w:val="0000" w:firstRow="0" w:lastRow="0" w:firstColumn="0" w:lastColumn="0" w:noHBand="0" w:noVBand="0"/>
      </w:tblPr>
      <w:tblGrid>
        <w:gridCol w:w="3227"/>
        <w:gridCol w:w="3685"/>
        <w:gridCol w:w="3706"/>
      </w:tblGrid>
      <w:tr w:rsidR="000031D7">
        <w:tc>
          <w:tcPr>
            <w:tcW w:w="3227" w:type="dxa"/>
            <w:tcBorders>
              <w:top w:val="single" w:sz="4" w:space="0" w:color="000000"/>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Gesamteindruck</w:t>
            </w:r>
          </w:p>
          <w:p w:rsidR="000031D7" w:rsidRDefault="00DD42C3">
            <w:pPr>
              <w:tabs>
                <w:tab w:val="left" w:pos="567"/>
                <w:tab w:val="right" w:leader="underscore" w:pos="8505"/>
              </w:tabs>
              <w:spacing w:before="80" w:after="80" w:line="100" w:lineRule="atLeast"/>
              <w:rPr>
                <w:sz w:val="20"/>
              </w:rPr>
            </w:pPr>
            <w:r>
              <w:rPr>
                <w:sz w:val="20"/>
              </w:rPr>
              <w:t>Mobilitätsaufenthalt bitte kurz in 4-5 Sätzen beschreiben</w:t>
            </w:r>
          </w:p>
        </w:tc>
        <w:tc>
          <w:tcPr>
            <w:tcW w:w="7391" w:type="dxa"/>
            <w:gridSpan w:val="2"/>
            <w:tcBorders>
              <w:top w:val="single" w:sz="4" w:space="0" w:color="000000"/>
              <w:left w:val="single" w:sz="4" w:space="0" w:color="000000"/>
              <w:bottom w:val="single" w:sz="4" w:space="0" w:color="000000"/>
              <w:right w:val="single" w:sz="4" w:space="0" w:color="000000"/>
            </w:tcBorders>
          </w:tcPr>
          <w:p w:rsidR="000031D7" w:rsidRDefault="000C3B63">
            <w:pPr>
              <w:tabs>
                <w:tab w:val="left" w:pos="567"/>
                <w:tab w:val="right" w:leader="underscore" w:pos="8505"/>
              </w:tabs>
              <w:snapToGrid w:val="0"/>
              <w:spacing w:before="80" w:after="80" w:line="100" w:lineRule="atLeast"/>
              <w:rPr>
                <w:sz w:val="20"/>
              </w:rPr>
            </w:pPr>
            <w:r>
              <w:rPr>
                <w:sz w:val="20"/>
              </w:rPr>
              <w:t xml:space="preserve">Das Auslandssemester war eine der besten Erfahrungen, die ich bisher sammeln konnte. Mir persönlich hat es vor allem sehr gut gefallen so viele Menschen aus unterschiedlichen Ländern kennenzulernen. Ein Auslandssemester erweitert den Horizont eines Jeden und bietet die Möglichkeit seine sprachlichen Fähigkeiten zu verbessern.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Einreise/Ankunft</w:t>
            </w:r>
          </w:p>
          <w:p w:rsidR="000031D7" w:rsidRDefault="00DD42C3">
            <w:pPr>
              <w:tabs>
                <w:tab w:val="left" w:pos="567"/>
                <w:tab w:val="right" w:leader="underscore" w:pos="8505"/>
              </w:tabs>
              <w:spacing w:before="80" w:after="80" w:line="100" w:lineRule="atLeast"/>
              <w:rPr>
                <w:sz w:val="20"/>
              </w:rPr>
            </w:pPr>
            <w:r>
              <w:rPr>
                <w:sz w:val="20"/>
              </w:rPr>
              <w:t>Einreiseformalitäten, Visum</w:t>
            </w:r>
          </w:p>
        </w:tc>
        <w:tc>
          <w:tcPr>
            <w:tcW w:w="7391" w:type="dxa"/>
            <w:gridSpan w:val="2"/>
            <w:tcBorders>
              <w:left w:val="single" w:sz="4" w:space="0" w:color="000000"/>
              <w:bottom w:val="single" w:sz="4" w:space="0" w:color="000000"/>
              <w:right w:val="single" w:sz="4" w:space="0" w:color="000000"/>
            </w:tcBorders>
          </w:tcPr>
          <w:p w:rsidR="000031D7" w:rsidRDefault="00075902">
            <w:pPr>
              <w:tabs>
                <w:tab w:val="left" w:pos="567"/>
                <w:tab w:val="right" w:leader="underscore" w:pos="8505"/>
              </w:tabs>
              <w:snapToGrid w:val="0"/>
              <w:spacing w:before="80" w:after="80" w:line="100" w:lineRule="atLeast"/>
              <w:rPr>
                <w:sz w:val="20"/>
              </w:rPr>
            </w:pPr>
            <w:r>
              <w:rPr>
                <w:sz w:val="20"/>
              </w:rPr>
              <w:t xml:space="preserve">Dadurch, dass </w:t>
            </w:r>
            <w:proofErr w:type="spellStart"/>
            <w:r>
              <w:rPr>
                <w:sz w:val="20"/>
              </w:rPr>
              <w:t>Poland</w:t>
            </w:r>
            <w:proofErr w:type="spellEnd"/>
            <w:r>
              <w:rPr>
                <w:sz w:val="20"/>
              </w:rPr>
              <w:t xml:space="preserve"> Mitglied der EU ist war die Einreise ohne Visum möglich. Auch bei der Passkontrolle gab es keinerlei Schwierigkeiten. Es genügt ein gültiger Ausweis oder Reisepass der Bundesrepublik Deutschland</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Zimmersuche/Wohnen</w:t>
            </w:r>
          </w:p>
          <w:p w:rsidR="000031D7" w:rsidRDefault="00DD42C3">
            <w:pPr>
              <w:tabs>
                <w:tab w:val="left" w:pos="567"/>
                <w:tab w:val="right" w:leader="underscore" w:pos="8505"/>
              </w:tabs>
              <w:spacing w:before="80" w:after="80" w:line="100" w:lineRule="atLeast"/>
              <w:rPr>
                <w:sz w:val="20"/>
              </w:rPr>
            </w:pPr>
            <w:r>
              <w:rPr>
                <w:sz w:val="20"/>
              </w:rPr>
              <w:t>Hilfreiche Kontaktdaten</w:t>
            </w:r>
          </w:p>
        </w:tc>
        <w:tc>
          <w:tcPr>
            <w:tcW w:w="7391" w:type="dxa"/>
            <w:gridSpan w:val="2"/>
            <w:tcBorders>
              <w:left w:val="single" w:sz="4" w:space="0" w:color="000000"/>
              <w:bottom w:val="single" w:sz="4" w:space="0" w:color="000000"/>
              <w:right w:val="single" w:sz="4" w:space="0" w:color="000000"/>
            </w:tcBorders>
          </w:tcPr>
          <w:p w:rsidR="000031D7" w:rsidRDefault="008B03EB">
            <w:pPr>
              <w:tabs>
                <w:tab w:val="left" w:pos="567"/>
                <w:tab w:val="right" w:leader="underscore" w:pos="8505"/>
              </w:tabs>
              <w:snapToGrid w:val="0"/>
              <w:spacing w:before="80" w:after="80" w:line="100" w:lineRule="atLeast"/>
              <w:rPr>
                <w:sz w:val="20"/>
              </w:rPr>
            </w:pPr>
            <w:r>
              <w:rPr>
                <w:sz w:val="20"/>
              </w:rPr>
              <w:t xml:space="preserve">Die Zimmersuche gestaltet sich sehr einfach, obwohl die Universität selbst kein Wohnheim zur Verfügung stellt. Die Universität gibt allerdings mögliche Anlaufstellen per Mail bekannt. Ein guter Tipp sind auch Facebook Gruppen, über die auch ich eine Wohnung gefunden habe.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Öffentliche Verkehrsmittel</w:t>
            </w:r>
          </w:p>
          <w:p w:rsidR="000031D7" w:rsidRDefault="00DD42C3">
            <w:pPr>
              <w:tabs>
                <w:tab w:val="left" w:pos="567"/>
                <w:tab w:val="right" w:leader="underscore" w:pos="8505"/>
              </w:tabs>
              <w:spacing w:before="80" w:after="80" w:line="100" w:lineRule="atLeast"/>
              <w:rPr>
                <w:sz w:val="20"/>
              </w:rPr>
            </w:pPr>
            <w:r>
              <w:rPr>
                <w:sz w:val="20"/>
              </w:rPr>
              <w:t>Bahn, Bus, Erreichbarkeit Uni</w:t>
            </w:r>
          </w:p>
        </w:tc>
        <w:tc>
          <w:tcPr>
            <w:tcW w:w="7391" w:type="dxa"/>
            <w:gridSpan w:val="2"/>
            <w:tcBorders>
              <w:left w:val="single" w:sz="4" w:space="0" w:color="000000"/>
              <w:bottom w:val="single" w:sz="4" w:space="0" w:color="000000"/>
              <w:right w:val="single" w:sz="4" w:space="0" w:color="000000"/>
            </w:tcBorders>
          </w:tcPr>
          <w:p w:rsidR="000031D7" w:rsidRDefault="00075902">
            <w:pPr>
              <w:tabs>
                <w:tab w:val="left" w:pos="567"/>
                <w:tab w:val="right" w:leader="underscore" w:pos="8505"/>
              </w:tabs>
              <w:snapToGrid w:val="0"/>
              <w:spacing w:before="80" w:after="80" w:line="100" w:lineRule="atLeast"/>
              <w:rPr>
                <w:sz w:val="20"/>
              </w:rPr>
            </w:pPr>
            <w:r>
              <w:rPr>
                <w:sz w:val="20"/>
              </w:rPr>
              <w:t xml:space="preserve">Öffentliches Verkehrsnetz in Warschau ist sehr gut ausgebaut. Es gibt zwei Metrolinien, zahlreiche Bus- und Tramverbindungen und mehrere Bahnhöfe. Die Uni ist mit Tram als auch Bus sehr gut zu erreichen. </w:t>
            </w:r>
          </w:p>
        </w:tc>
      </w:tr>
      <w:tr w:rsidR="000031D7" w:rsidRPr="00FC3425">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Vorbereitung Studium</w:t>
            </w:r>
          </w:p>
          <w:p w:rsidR="000031D7" w:rsidRDefault="00DD42C3">
            <w:pPr>
              <w:tabs>
                <w:tab w:val="left" w:pos="567"/>
                <w:tab w:val="right" w:leader="underscore" w:pos="8505"/>
              </w:tabs>
              <w:spacing w:before="80" w:after="80" w:line="100" w:lineRule="atLeast"/>
              <w:rPr>
                <w:sz w:val="20"/>
              </w:rPr>
            </w:pPr>
            <w:r>
              <w:rPr>
                <w:sz w:val="20"/>
              </w:rPr>
              <w:t>Kursanmeldungsprozedere, Sprach- und Studiennachweise</w:t>
            </w:r>
          </w:p>
        </w:tc>
        <w:tc>
          <w:tcPr>
            <w:tcW w:w="7391" w:type="dxa"/>
            <w:gridSpan w:val="2"/>
            <w:tcBorders>
              <w:left w:val="single" w:sz="4" w:space="0" w:color="000000"/>
              <w:bottom w:val="single" w:sz="4" w:space="0" w:color="000000"/>
              <w:right w:val="single" w:sz="4" w:space="0" w:color="000000"/>
            </w:tcBorders>
          </w:tcPr>
          <w:p w:rsidR="000031D7" w:rsidRPr="00FC3425" w:rsidRDefault="00FC3425" w:rsidP="00FC3425">
            <w:pPr>
              <w:tabs>
                <w:tab w:val="left" w:pos="567"/>
                <w:tab w:val="right" w:leader="underscore" w:pos="8505"/>
              </w:tabs>
              <w:snapToGrid w:val="0"/>
              <w:spacing w:before="80" w:after="80" w:line="100" w:lineRule="atLeast"/>
              <w:rPr>
                <w:sz w:val="20"/>
                <w:lang w:val="de-DE"/>
              </w:rPr>
            </w:pPr>
            <w:r w:rsidRPr="00FC3425">
              <w:rPr>
                <w:sz w:val="20"/>
                <w:lang w:val="de-DE"/>
              </w:rPr>
              <w:t>Sobald die Bewerbung für d</w:t>
            </w:r>
            <w:r>
              <w:rPr>
                <w:sz w:val="20"/>
                <w:lang w:val="de-DE"/>
              </w:rPr>
              <w:t xml:space="preserve">as Auslandssemester akzeptiert wurde, erhält man eine Mail von einem der Mitarbeiter des International Office mit Zugangsdaten für das Onlinesystem der Universität. Mithilfe diesem kann man bereits im Voraus </w:t>
            </w:r>
            <w:r w:rsidR="00A62854">
              <w:rPr>
                <w:sz w:val="20"/>
                <w:lang w:val="de-DE"/>
              </w:rPr>
              <w:t>schauen, welche Kurse im jeweiligen Semester angeboten werden. Etwa zwei Wochen vor Semesterbeginn wird das Anmeldesystem geöffnet und es gilt das First-</w:t>
            </w:r>
            <w:proofErr w:type="spellStart"/>
            <w:r w:rsidR="00A62854">
              <w:rPr>
                <w:sz w:val="20"/>
                <w:lang w:val="de-DE"/>
              </w:rPr>
              <w:t>Come</w:t>
            </w:r>
            <w:proofErr w:type="spellEnd"/>
            <w:r w:rsidR="00A62854">
              <w:rPr>
                <w:sz w:val="20"/>
                <w:lang w:val="de-DE"/>
              </w:rPr>
              <w:t>-First-</w:t>
            </w:r>
            <w:proofErr w:type="spellStart"/>
            <w:r w:rsidR="00A62854">
              <w:rPr>
                <w:sz w:val="20"/>
                <w:lang w:val="de-DE"/>
              </w:rPr>
              <w:t>Serve</w:t>
            </w:r>
            <w:proofErr w:type="spellEnd"/>
            <w:r w:rsidR="00A62854">
              <w:rPr>
                <w:sz w:val="20"/>
                <w:lang w:val="de-DE"/>
              </w:rPr>
              <w:t xml:space="preserve">-Prinzip. Es wird ein Englischnachweis benötigt, der ein Level von B2 bestätigt. Einen Nachweis meiner Studienleistungen musste ich nicht vorlegen.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Infos Universität</w:t>
            </w:r>
          </w:p>
          <w:p w:rsidR="000031D7" w:rsidRDefault="00DD42C3">
            <w:pPr>
              <w:tabs>
                <w:tab w:val="left" w:pos="567"/>
                <w:tab w:val="right" w:leader="underscore" w:pos="8505"/>
              </w:tabs>
              <w:spacing w:before="80" w:after="80" w:line="100" w:lineRule="atLeast"/>
              <w:rPr>
                <w:sz w:val="20"/>
              </w:rPr>
            </w:pPr>
            <w:r>
              <w:rPr>
                <w:sz w:val="20"/>
              </w:rPr>
              <w:t>Lage, Grösse, Infrastruktur</w:t>
            </w:r>
          </w:p>
        </w:tc>
        <w:tc>
          <w:tcPr>
            <w:tcW w:w="7391" w:type="dxa"/>
            <w:gridSpan w:val="2"/>
            <w:tcBorders>
              <w:left w:val="single" w:sz="4" w:space="0" w:color="000000"/>
              <w:bottom w:val="single" w:sz="4" w:space="0" w:color="000000"/>
              <w:right w:val="single" w:sz="4" w:space="0" w:color="000000"/>
            </w:tcBorders>
          </w:tcPr>
          <w:p w:rsidR="000031D7" w:rsidRDefault="00AB5146">
            <w:pPr>
              <w:tabs>
                <w:tab w:val="left" w:pos="567"/>
                <w:tab w:val="right" w:leader="underscore" w:pos="8505"/>
              </w:tabs>
              <w:snapToGrid w:val="0"/>
              <w:spacing w:before="80" w:after="80" w:line="100" w:lineRule="atLeast"/>
              <w:rPr>
                <w:sz w:val="20"/>
              </w:rPr>
            </w:pPr>
            <w:r>
              <w:rPr>
                <w:sz w:val="20"/>
              </w:rPr>
              <w:t xml:space="preserve">Die Universität liegt im </w:t>
            </w:r>
            <w:proofErr w:type="spellStart"/>
            <w:r>
              <w:rPr>
                <w:sz w:val="20"/>
              </w:rPr>
              <w:t>Stadteil</w:t>
            </w:r>
            <w:proofErr w:type="spellEnd"/>
            <w:r>
              <w:rPr>
                <w:sz w:val="20"/>
              </w:rPr>
              <w:t xml:space="preserve"> </w:t>
            </w:r>
            <w:proofErr w:type="spellStart"/>
            <w:r>
              <w:rPr>
                <w:sz w:val="20"/>
              </w:rPr>
              <w:t>Praga-Pólnoc</w:t>
            </w:r>
            <w:proofErr w:type="spellEnd"/>
            <w:r>
              <w:rPr>
                <w:sz w:val="20"/>
              </w:rPr>
              <w:t xml:space="preserve"> (</w:t>
            </w:r>
            <w:proofErr w:type="spellStart"/>
            <w:r>
              <w:rPr>
                <w:sz w:val="20"/>
              </w:rPr>
              <w:t>Praga</w:t>
            </w:r>
            <w:proofErr w:type="spellEnd"/>
            <w:r>
              <w:rPr>
                <w:sz w:val="20"/>
              </w:rPr>
              <w:t xml:space="preserve">-Nord) östlich der Weichsel. Es studieren etwa 7.500 an der Universität. Die Infrastruktur ist sehr gut. Es gibt alle notwendigen Dinge auf dem Campus.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Sprachkurs an der Universität besucht</w:t>
            </w:r>
          </w:p>
          <w:p w:rsidR="000031D7" w:rsidRDefault="00DD42C3">
            <w:pPr>
              <w:tabs>
                <w:tab w:val="left" w:pos="567"/>
                <w:tab w:val="right" w:leader="underscore" w:pos="8505"/>
              </w:tabs>
              <w:spacing w:before="80" w:after="80" w:line="100" w:lineRule="atLeast"/>
              <w:rPr>
                <w:sz w:val="20"/>
              </w:rPr>
            </w:pPr>
            <w:r>
              <w:rPr>
                <w:sz w:val="20"/>
              </w:rPr>
              <w:t>Kursinhalt, Nutzen</w:t>
            </w:r>
          </w:p>
        </w:tc>
        <w:tc>
          <w:tcPr>
            <w:tcW w:w="7391" w:type="dxa"/>
            <w:gridSpan w:val="2"/>
            <w:tcBorders>
              <w:left w:val="single" w:sz="4" w:space="0" w:color="000000"/>
              <w:bottom w:val="single" w:sz="4" w:space="0" w:color="000000"/>
              <w:right w:val="single" w:sz="4" w:space="0" w:color="000000"/>
            </w:tcBorders>
          </w:tcPr>
          <w:p w:rsidR="000031D7" w:rsidRDefault="00075902">
            <w:pPr>
              <w:tabs>
                <w:tab w:val="left" w:pos="567"/>
                <w:tab w:val="right" w:leader="underscore" w:pos="8505"/>
              </w:tabs>
              <w:snapToGrid w:val="0"/>
              <w:spacing w:before="80" w:after="80" w:line="100" w:lineRule="atLeast"/>
              <w:rPr>
                <w:sz w:val="20"/>
              </w:rPr>
            </w:pPr>
            <w:r>
              <w:rPr>
                <w:sz w:val="20"/>
              </w:rPr>
              <w:t>Ein Sprachkurs an der Universität wurde aufgrund mangelnder verfügbarer ECTS nicht belegt.</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Betreuung an der Universität</w:t>
            </w:r>
          </w:p>
          <w:p w:rsidR="000031D7" w:rsidRDefault="00DD42C3">
            <w:pPr>
              <w:tabs>
                <w:tab w:val="left" w:pos="567"/>
                <w:tab w:val="right" w:leader="underscore" w:pos="8505"/>
              </w:tabs>
              <w:spacing w:before="80" w:after="80" w:line="100" w:lineRule="atLeast"/>
              <w:rPr>
                <w:sz w:val="20"/>
              </w:rPr>
            </w:pPr>
            <w:r>
              <w:rPr>
                <w:sz w:val="20"/>
              </w:rPr>
              <w:t>Studienberatung, International Office, Buddy, Studierendenkontakte</w:t>
            </w:r>
          </w:p>
        </w:tc>
        <w:tc>
          <w:tcPr>
            <w:tcW w:w="7391" w:type="dxa"/>
            <w:gridSpan w:val="2"/>
            <w:tcBorders>
              <w:left w:val="single" w:sz="4" w:space="0" w:color="000000"/>
              <w:bottom w:val="single" w:sz="4" w:space="0" w:color="000000"/>
              <w:right w:val="single" w:sz="4" w:space="0" w:color="000000"/>
            </w:tcBorders>
          </w:tcPr>
          <w:p w:rsidR="000031D7" w:rsidRDefault="00075902">
            <w:pPr>
              <w:tabs>
                <w:tab w:val="left" w:pos="567"/>
                <w:tab w:val="right" w:leader="underscore" w:pos="8505"/>
              </w:tabs>
              <w:snapToGrid w:val="0"/>
              <w:spacing w:before="80" w:after="80" w:line="100" w:lineRule="atLeast"/>
              <w:rPr>
                <w:sz w:val="20"/>
              </w:rPr>
            </w:pPr>
            <w:r>
              <w:rPr>
                <w:sz w:val="20"/>
              </w:rPr>
              <w:t xml:space="preserve">Die Betreuung an der Universität ist ausgezeichnet. Bei Fragen ist das International Office jederzeit hilfsbereit und vor allem sehr schnell im Antworten von Anfragen. Darüber hinaus gibt es ein </w:t>
            </w:r>
            <w:proofErr w:type="spellStart"/>
            <w:r>
              <w:rPr>
                <w:sz w:val="20"/>
              </w:rPr>
              <w:t>Buddyprogramm</w:t>
            </w:r>
            <w:proofErr w:type="spellEnd"/>
            <w:r>
              <w:rPr>
                <w:sz w:val="20"/>
              </w:rPr>
              <w:t>, welches vor allem in den ersten Tagen sehr hilfreich ist, um sich an die neue Umgebung zu gewöhnen.</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Studieren an der Universität</w:t>
            </w:r>
          </w:p>
          <w:p w:rsidR="000031D7" w:rsidRDefault="00DD42C3">
            <w:pPr>
              <w:tabs>
                <w:tab w:val="left" w:pos="567"/>
                <w:tab w:val="right" w:leader="underscore" w:pos="8505"/>
              </w:tabs>
              <w:spacing w:before="80" w:after="80" w:line="100" w:lineRule="atLeast"/>
              <w:rPr>
                <w:sz w:val="20"/>
              </w:rPr>
            </w:pPr>
            <w:r>
              <w:rPr>
                <w:sz w:val="20"/>
              </w:rPr>
              <w:t>Kursinhalte, Anrechnungen, Prüfungen</w:t>
            </w:r>
          </w:p>
        </w:tc>
        <w:tc>
          <w:tcPr>
            <w:tcW w:w="7391" w:type="dxa"/>
            <w:gridSpan w:val="2"/>
            <w:tcBorders>
              <w:left w:val="single" w:sz="4" w:space="0" w:color="000000"/>
              <w:bottom w:val="single" w:sz="4" w:space="0" w:color="000000"/>
              <w:right w:val="single" w:sz="4" w:space="0" w:color="000000"/>
            </w:tcBorders>
          </w:tcPr>
          <w:p w:rsidR="000031D7" w:rsidRDefault="00826F3B">
            <w:pPr>
              <w:tabs>
                <w:tab w:val="left" w:pos="567"/>
                <w:tab w:val="right" w:leader="underscore" w:pos="8505"/>
              </w:tabs>
              <w:snapToGrid w:val="0"/>
              <w:spacing w:before="80" w:after="80" w:line="100" w:lineRule="atLeast"/>
              <w:rPr>
                <w:sz w:val="20"/>
              </w:rPr>
            </w:pPr>
            <w:r>
              <w:rPr>
                <w:sz w:val="20"/>
              </w:rPr>
              <w:t xml:space="preserve">Die Lehrmethoden orientieren sich stark an den für Business Schools typischen Fallstudien. Viele Kurse haben Gruppenarbeiten, die einen Großteil der Endnote ausmachen. </w:t>
            </w:r>
            <w:r w:rsidR="00F776D0">
              <w:rPr>
                <w:sz w:val="20"/>
              </w:rPr>
              <w:t xml:space="preserve">Es war für mich möglich alle meine Kurse an meiner Heimatuniversität anrechnen zu lassen.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Kostenplanung</w:t>
            </w:r>
          </w:p>
          <w:p w:rsidR="000031D7" w:rsidRDefault="00DD42C3">
            <w:pPr>
              <w:tabs>
                <w:tab w:val="left" w:pos="567"/>
                <w:tab w:val="right" w:leader="underscore" w:pos="8505"/>
              </w:tabs>
              <w:spacing w:before="80" w:after="80" w:line="100" w:lineRule="atLeast"/>
              <w:rPr>
                <w:sz w:val="20"/>
              </w:rPr>
            </w:pPr>
            <w:r>
              <w:rPr>
                <w:sz w:val="20"/>
              </w:rPr>
              <w:t xml:space="preserve">Lebenskosten, Studienmaterial, </w:t>
            </w:r>
            <w:r>
              <w:rPr>
                <w:sz w:val="20"/>
              </w:rPr>
              <w:lastRenderedPageBreak/>
              <w:t>Geldüberweisungen</w:t>
            </w:r>
          </w:p>
        </w:tc>
        <w:tc>
          <w:tcPr>
            <w:tcW w:w="7391" w:type="dxa"/>
            <w:gridSpan w:val="2"/>
            <w:tcBorders>
              <w:left w:val="single" w:sz="4" w:space="0" w:color="000000"/>
              <w:bottom w:val="single" w:sz="4" w:space="0" w:color="000000"/>
              <w:right w:val="single" w:sz="4" w:space="0" w:color="000000"/>
            </w:tcBorders>
          </w:tcPr>
          <w:p w:rsidR="000031D7" w:rsidRDefault="00075902">
            <w:pPr>
              <w:tabs>
                <w:tab w:val="left" w:pos="567"/>
                <w:tab w:val="right" w:leader="underscore" w:pos="8505"/>
              </w:tabs>
              <w:snapToGrid w:val="0"/>
              <w:spacing w:before="80" w:after="80" w:line="100" w:lineRule="atLeast"/>
              <w:rPr>
                <w:sz w:val="20"/>
              </w:rPr>
            </w:pPr>
            <w:r>
              <w:rPr>
                <w:sz w:val="20"/>
              </w:rPr>
              <w:lastRenderedPageBreak/>
              <w:t xml:space="preserve">Die Lebenskosten in Warschau und generell in Polen sind deutlich günstiger als in Liechtenstein. Insbesondere Lebensmittel und der öffentliche Nahverkehr sind günstiger. Für mich als Erasmusstudent war es nicht nötig irgendwelche Materialien für </w:t>
            </w:r>
            <w:r>
              <w:rPr>
                <w:sz w:val="20"/>
              </w:rPr>
              <w:lastRenderedPageBreak/>
              <w:t xml:space="preserve">die Universität zu kaufen. Für Geldüberweisungen bieten sich Anbieter wie </w:t>
            </w:r>
            <w:proofErr w:type="spellStart"/>
            <w:r>
              <w:rPr>
                <w:sz w:val="20"/>
              </w:rPr>
              <w:t>Revolut</w:t>
            </w:r>
            <w:proofErr w:type="spellEnd"/>
            <w:r>
              <w:rPr>
                <w:sz w:val="20"/>
              </w:rPr>
              <w:t xml:space="preserve"> oder N26 an, die eine kostengünstige Variante darstellen.</w:t>
            </w:r>
          </w:p>
        </w:tc>
      </w:tr>
      <w:tr w:rsidR="000031D7" w:rsidRPr="000C3B63">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lastRenderedPageBreak/>
              <w:t>Leben/Freizeit</w:t>
            </w:r>
          </w:p>
          <w:p w:rsidR="000031D7" w:rsidRDefault="00DD42C3">
            <w:pPr>
              <w:tabs>
                <w:tab w:val="left" w:pos="567"/>
                <w:tab w:val="right" w:leader="underscore" w:pos="8505"/>
              </w:tabs>
              <w:spacing w:before="80" w:after="80" w:line="100" w:lineRule="atLeast"/>
              <w:rPr>
                <w:sz w:val="20"/>
              </w:rPr>
            </w:pPr>
            <w:r>
              <w:rPr>
                <w:sz w:val="20"/>
              </w:rPr>
              <w:t>Treffpunkte, Sport, Kultur</w:t>
            </w:r>
          </w:p>
        </w:tc>
        <w:tc>
          <w:tcPr>
            <w:tcW w:w="7391" w:type="dxa"/>
            <w:gridSpan w:val="2"/>
            <w:tcBorders>
              <w:left w:val="single" w:sz="4" w:space="0" w:color="000000"/>
              <w:bottom w:val="single" w:sz="4" w:space="0" w:color="000000"/>
              <w:right w:val="single" w:sz="4" w:space="0" w:color="000000"/>
            </w:tcBorders>
          </w:tcPr>
          <w:p w:rsidR="000031D7" w:rsidRPr="000C3B63" w:rsidRDefault="000C3B63" w:rsidP="000C3B63">
            <w:pPr>
              <w:tabs>
                <w:tab w:val="left" w:pos="567"/>
                <w:tab w:val="right" w:leader="underscore" w:pos="8505"/>
              </w:tabs>
              <w:snapToGrid w:val="0"/>
              <w:spacing w:before="80" w:after="80" w:line="100" w:lineRule="atLeast"/>
              <w:rPr>
                <w:sz w:val="20"/>
                <w:lang w:val="de-DE"/>
              </w:rPr>
            </w:pPr>
            <w:r w:rsidRPr="000C3B63">
              <w:rPr>
                <w:sz w:val="20"/>
                <w:lang w:val="de-DE"/>
              </w:rPr>
              <w:t xml:space="preserve">Warschau ist eine Stadt, die nicht an einem </w:t>
            </w:r>
            <w:r>
              <w:rPr>
                <w:sz w:val="20"/>
                <w:lang w:val="de-DE"/>
              </w:rPr>
              <w:t xml:space="preserve">Wochenende vollständig entdeckt werden kann. Es gibt viele unterschiedliche Angebote egal ob Sport, Kultur oder Restaurants. Die Erfahrungen des zweiten Weltkriegs spielen eine große Rolle, weshalb es einige Museen gibt, die sich damit beschäftigen. Es gibt unzählige Möglichkeiten sich sportlich zu betätigen, sei es durch Angebote der Universität oder auch private Vereinbarungen.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 xml:space="preserve">Vergleich Universitäten </w:t>
            </w:r>
          </w:p>
          <w:p w:rsidR="000031D7" w:rsidRDefault="00DD42C3">
            <w:pPr>
              <w:tabs>
                <w:tab w:val="left" w:pos="567"/>
                <w:tab w:val="right" w:leader="underscore" w:pos="8505"/>
              </w:tabs>
              <w:spacing w:before="80" w:after="80" w:line="100" w:lineRule="atLeast"/>
              <w:rPr>
                <w:sz w:val="20"/>
              </w:rPr>
            </w:pPr>
            <w:r>
              <w:rPr>
                <w:sz w:val="20"/>
              </w:rPr>
              <w:t>Was ist besser/schlechter an der Partneruniversität als an der Universität Liechtenstein</w:t>
            </w:r>
          </w:p>
        </w:tc>
        <w:tc>
          <w:tcPr>
            <w:tcW w:w="7391" w:type="dxa"/>
            <w:gridSpan w:val="2"/>
            <w:tcBorders>
              <w:left w:val="single" w:sz="4" w:space="0" w:color="000000"/>
              <w:bottom w:val="single" w:sz="4" w:space="0" w:color="000000"/>
              <w:right w:val="single" w:sz="4" w:space="0" w:color="000000"/>
            </w:tcBorders>
          </w:tcPr>
          <w:p w:rsidR="000C3B63" w:rsidRDefault="000C3B63">
            <w:pPr>
              <w:tabs>
                <w:tab w:val="left" w:pos="567"/>
                <w:tab w:val="right" w:leader="underscore" w:pos="8505"/>
              </w:tabs>
              <w:snapToGrid w:val="0"/>
              <w:spacing w:before="80" w:after="80" w:line="100" w:lineRule="atLeast"/>
              <w:rPr>
                <w:sz w:val="20"/>
              </w:rPr>
            </w:pPr>
            <w:r>
              <w:rPr>
                <w:sz w:val="20"/>
              </w:rPr>
              <w:t xml:space="preserve">Meiner Meinung nach ist der </w:t>
            </w:r>
            <w:proofErr w:type="spellStart"/>
            <w:r>
              <w:rPr>
                <w:sz w:val="20"/>
              </w:rPr>
              <w:t>Lernstil</w:t>
            </w:r>
            <w:proofErr w:type="spellEnd"/>
            <w:r>
              <w:rPr>
                <w:sz w:val="20"/>
              </w:rPr>
              <w:t xml:space="preserve"> der </w:t>
            </w:r>
            <w:proofErr w:type="spellStart"/>
            <w:r>
              <w:rPr>
                <w:sz w:val="20"/>
              </w:rPr>
              <w:t>Kozminski</w:t>
            </w:r>
            <w:proofErr w:type="spellEnd"/>
            <w:r>
              <w:rPr>
                <w:sz w:val="20"/>
              </w:rPr>
              <w:t xml:space="preserve"> University besser als an der Universität Liechtenstein. Mir hat es sehr zugesagt mehrere Komponenten zu haben, die am Ende eine Gesamtnote ergeben. Darüber hinaus fördern die vielen Gruppenarbeiten die Teamarbeit, welche meiner Meinung nach sehr wichtig ist für das Arbeitsleben. </w:t>
            </w:r>
          </w:p>
          <w:p w:rsidR="000C3B63" w:rsidRDefault="000C3B63">
            <w:pPr>
              <w:tabs>
                <w:tab w:val="left" w:pos="567"/>
                <w:tab w:val="right" w:leader="underscore" w:pos="8505"/>
              </w:tabs>
              <w:snapToGrid w:val="0"/>
              <w:spacing w:before="80" w:after="80" w:line="100" w:lineRule="atLeast"/>
              <w:rPr>
                <w:sz w:val="20"/>
              </w:rPr>
            </w:pPr>
            <w:r>
              <w:rPr>
                <w:sz w:val="20"/>
              </w:rPr>
              <w:t xml:space="preserve">An der Universität Liechtenstein gefällt mir das persönliche Verhältnis zwischen Mitarbeitenden und Studenten deutlich besser. Dies ist selbstverständlich auch der Größe der Universität zu verdanken, welche ein sehr familiäres Umfeld ermöglicht. </w:t>
            </w: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Fotos</w:t>
            </w:r>
          </w:p>
          <w:p w:rsidR="000031D7" w:rsidRDefault="00DD42C3">
            <w:pPr>
              <w:tabs>
                <w:tab w:val="left" w:pos="567"/>
                <w:tab w:val="right" w:leader="underscore" w:pos="8505"/>
              </w:tabs>
              <w:spacing w:before="80" w:after="80" w:line="100" w:lineRule="atLeast"/>
              <w:rPr>
                <w:sz w:val="20"/>
              </w:rPr>
            </w:pPr>
            <w:r>
              <w:rPr>
                <w:sz w:val="20"/>
              </w:rPr>
              <w:t>Eindrücke vom Leben, Studieren, Umgebung (kann auch ein Dropbox-Link sein)</w:t>
            </w:r>
          </w:p>
        </w:tc>
        <w:tc>
          <w:tcPr>
            <w:tcW w:w="7391" w:type="dxa"/>
            <w:gridSpan w:val="2"/>
            <w:tcBorders>
              <w:left w:val="single" w:sz="4" w:space="0" w:color="000000"/>
              <w:bottom w:val="single" w:sz="4" w:space="0" w:color="000000"/>
              <w:right w:val="single" w:sz="4" w:space="0" w:color="000000"/>
            </w:tcBorders>
          </w:tcPr>
          <w:p w:rsidR="000031D7" w:rsidRDefault="000031D7">
            <w:pPr>
              <w:tabs>
                <w:tab w:val="left" w:pos="567"/>
                <w:tab w:val="right" w:leader="underscore" w:pos="8505"/>
              </w:tabs>
              <w:snapToGrid w:val="0"/>
              <w:spacing w:before="80" w:after="80" w:line="100" w:lineRule="atLeast"/>
              <w:rPr>
                <w:sz w:val="20"/>
              </w:rPr>
            </w:pPr>
          </w:p>
        </w:tc>
      </w:tr>
      <w:tr w:rsidR="000031D7">
        <w:tc>
          <w:tcPr>
            <w:tcW w:w="3227" w:type="dxa"/>
            <w:tcBorders>
              <w:left w:val="single" w:sz="4" w:space="0" w:color="000000"/>
              <w:bottom w:val="single" w:sz="4" w:space="0" w:color="000000"/>
            </w:tcBorders>
          </w:tcPr>
          <w:p w:rsidR="000031D7" w:rsidRDefault="00DD42C3">
            <w:pPr>
              <w:tabs>
                <w:tab w:val="left" w:pos="567"/>
                <w:tab w:val="right" w:leader="underscore" w:pos="8505"/>
              </w:tabs>
              <w:snapToGrid w:val="0"/>
              <w:spacing w:before="80" w:after="80" w:line="100" w:lineRule="atLeast"/>
              <w:rPr>
                <w:b/>
                <w:sz w:val="20"/>
              </w:rPr>
            </w:pPr>
            <w:r>
              <w:rPr>
                <w:b/>
                <w:sz w:val="20"/>
              </w:rPr>
              <w:t>Fotos</w:t>
            </w:r>
          </w:p>
          <w:p w:rsidR="000031D7" w:rsidRDefault="00DD42C3">
            <w:pPr>
              <w:tabs>
                <w:tab w:val="left" w:pos="567"/>
                <w:tab w:val="right" w:leader="underscore" w:pos="8505"/>
              </w:tabs>
              <w:spacing w:before="80" w:after="80" w:line="100" w:lineRule="atLeast"/>
              <w:rPr>
                <w:sz w:val="20"/>
              </w:rPr>
            </w:pPr>
            <w:r>
              <w:rPr>
                <w:sz w:val="20"/>
              </w:rPr>
              <w:t>Verwendung der Fotos für Werbezwecke erlaubt?</w:t>
            </w:r>
          </w:p>
        </w:tc>
        <w:tc>
          <w:tcPr>
            <w:tcW w:w="3685" w:type="dxa"/>
            <w:tcBorders>
              <w:left w:val="single" w:sz="4" w:space="0" w:color="000000"/>
              <w:bottom w:val="single" w:sz="4" w:space="0" w:color="000000"/>
            </w:tcBorders>
          </w:tcPr>
          <w:p w:rsidR="000031D7" w:rsidRDefault="00DE5827">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45720" distB="45720" distL="114935" distR="114935" simplePos="0" relativeHeight="251657216" behindDoc="0" locked="0" layoutInCell="1" allowOverlap="1">
                      <wp:simplePos x="0" y="0"/>
                      <wp:positionH relativeFrom="column">
                        <wp:posOffset>606425</wp:posOffset>
                      </wp:positionH>
                      <wp:positionV relativeFrom="paragraph">
                        <wp:posOffset>242570</wp:posOffset>
                      </wp:positionV>
                      <wp:extent cx="229870" cy="179070"/>
                      <wp:effectExtent l="10795" t="5080" r="6985"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9070"/>
                              </a:xfrm>
                              <a:prstGeom prst="rect">
                                <a:avLst/>
                              </a:prstGeom>
                              <a:solidFill>
                                <a:srgbClr val="FFFFFF"/>
                              </a:solidFill>
                              <a:ln w="6350" cmpd="sng">
                                <a:solidFill>
                                  <a:srgbClr val="000000"/>
                                </a:solidFill>
                                <a:miter lim="800000"/>
                                <a:headEnd/>
                                <a:tailEnd/>
                              </a:ln>
                            </wps:spPr>
                            <wps:txbx>
                              <w:txbxContent>
                                <w:p w:rsidR="000031D7" w:rsidRDefault="000031D7">
                                  <w:pPr>
                                    <w:ind w:left="1418"/>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7.75pt;margin-top:19.1pt;width:18.1pt;height:14.1pt;z-index:251657216;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" strokeweight=".5pt">
                      <v:textbox inset="7.45pt,3.85pt,7.45pt,3.85pt">
                        <w:txbxContent>
                          <w:p w:rsidR="00000000" w:rsidRDefault="00DD42C3">
                            <w:pPr>
                              <w:ind w:left="1418"/>
                            </w:pPr>
                          </w:p>
                        </w:txbxContent>
                      </v:textbox>
                      <w10:wrap type="square"/>
                    </v:shape>
                  </w:pict>
                </mc:Fallback>
              </mc:AlternateContent>
            </w:r>
          </w:p>
          <w:p w:rsidR="000031D7" w:rsidRDefault="00DD42C3">
            <w:pPr>
              <w:tabs>
                <w:tab w:val="left" w:pos="567"/>
                <w:tab w:val="right" w:leader="underscore" w:pos="8505"/>
              </w:tabs>
              <w:spacing w:before="80" w:after="80" w:line="100" w:lineRule="atLeast"/>
              <w:ind w:left="567"/>
              <w:rPr>
                <w:sz w:val="20"/>
              </w:rPr>
            </w:pPr>
            <w:r>
              <w:rPr>
                <w:sz w:val="20"/>
              </w:rPr>
              <w:t xml:space="preserve">Ja  </w:t>
            </w:r>
          </w:p>
        </w:tc>
        <w:tc>
          <w:tcPr>
            <w:tcW w:w="3706" w:type="dxa"/>
            <w:tcBorders>
              <w:left w:val="single" w:sz="4" w:space="0" w:color="000000"/>
              <w:bottom w:val="single" w:sz="4" w:space="0" w:color="000000"/>
              <w:right w:val="single" w:sz="4" w:space="0" w:color="000000"/>
            </w:tcBorders>
          </w:tcPr>
          <w:p w:rsidR="000031D7" w:rsidRDefault="00DE5827">
            <w:pPr>
              <w:tabs>
                <w:tab w:val="left" w:pos="567"/>
                <w:tab w:val="right" w:leader="underscore" w:pos="8505"/>
              </w:tabs>
              <w:snapToGrid w:val="0"/>
              <w:spacing w:before="80" w:after="80" w:line="100" w:lineRule="atLeast"/>
              <w:rPr>
                <w:sz w:val="20"/>
              </w:rPr>
            </w:pPr>
            <w:r>
              <w:rPr>
                <w:noProof/>
                <w:lang w:eastAsia="de-CH"/>
              </w:rPr>
              <mc:AlternateContent>
                <mc:Choice Requires="wps">
                  <w:drawing>
                    <wp:anchor distT="45720" distB="45720" distL="114935" distR="114935" simplePos="0" relativeHeight="251658240" behindDoc="0" locked="0" layoutInCell="1" allowOverlap="1">
                      <wp:simplePos x="0" y="0"/>
                      <wp:positionH relativeFrom="column">
                        <wp:posOffset>742315</wp:posOffset>
                      </wp:positionH>
                      <wp:positionV relativeFrom="paragraph">
                        <wp:posOffset>245110</wp:posOffset>
                      </wp:positionV>
                      <wp:extent cx="229870" cy="179070"/>
                      <wp:effectExtent l="10160" t="7620" r="7620" b="13335"/>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79070"/>
                              </a:xfrm>
                              <a:prstGeom prst="rect">
                                <a:avLst/>
                              </a:prstGeom>
                              <a:solidFill>
                                <a:srgbClr val="FFFFFF"/>
                              </a:solidFill>
                              <a:ln w="6350" cmpd="sng">
                                <a:solidFill>
                                  <a:srgbClr val="000000"/>
                                </a:solidFill>
                                <a:miter lim="800000"/>
                                <a:headEnd/>
                                <a:tailEnd/>
                              </a:ln>
                            </wps:spPr>
                            <wps:txbx>
                              <w:txbxContent>
                                <w:p w:rsidR="000031D7" w:rsidRDefault="00814EED">
                                  <w:pPr>
                                    <w:ind w:left="1418"/>
                                  </w:pPr>
                                  <w:r>
                                    <w:t>xx</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7" type="#_x0000_t202" style="position:absolute;margin-left:58.45pt;margin-top:19.3pt;width:18.1pt;height:14.1pt;z-index:251658240;visibility:visible;mso-wrap-style:square;mso-width-percent:0;mso-height-percent:0;mso-wrap-distance-left:9.05pt;mso-wrap-distance-top:3.6pt;mso-wrap-distance-right:9.05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" strokeweight=".5pt">
                      <v:textbox inset="7.45pt,3.85pt,7.45pt,3.85pt">
                        <w:txbxContent>
                          <w:p w:rsidR="00000000" w:rsidRDefault="00814EED">
                            <w:pPr>
                              <w:ind w:left="1418"/>
                            </w:pPr>
                            <w:r>
                              <w:t>xx</w:t>
                            </w:r>
                          </w:p>
                        </w:txbxContent>
                      </v:textbox>
                      <w10:wrap type="square"/>
                    </v:shape>
                  </w:pict>
                </mc:Fallback>
              </mc:AlternateContent>
            </w:r>
          </w:p>
          <w:p w:rsidR="000031D7" w:rsidRDefault="00DD42C3">
            <w:pPr>
              <w:tabs>
                <w:tab w:val="left" w:pos="567"/>
                <w:tab w:val="right" w:leader="underscore" w:pos="8505"/>
              </w:tabs>
              <w:spacing w:before="80" w:after="80" w:line="100" w:lineRule="atLeast"/>
              <w:ind w:left="567"/>
              <w:rPr>
                <w:sz w:val="20"/>
              </w:rPr>
            </w:pPr>
            <w:r>
              <w:rPr>
                <w:sz w:val="20"/>
              </w:rPr>
              <w:t xml:space="preserve">Nein   </w:t>
            </w:r>
          </w:p>
        </w:tc>
      </w:tr>
    </w:tbl>
    <w:p w:rsidR="00DD42C3" w:rsidRDefault="00DD42C3">
      <w:pPr>
        <w:tabs>
          <w:tab w:val="left" w:pos="567"/>
          <w:tab w:val="right" w:leader="underscore" w:pos="8505"/>
        </w:tabs>
        <w:spacing w:before="240" w:after="240"/>
      </w:pPr>
    </w:p>
    <w:sectPr w:rsidR="00DD42C3">
      <w:headerReference w:type="default" r:id="rId7"/>
      <w:footnotePr>
        <w:pos w:val="beneathText"/>
      </w:footnotePr>
      <w:pgSz w:w="11905" w:h="16837"/>
      <w:pgMar w:top="764" w:right="720" w:bottom="720" w:left="720" w:header="7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C3" w:rsidRDefault="00DD42C3">
      <w:pPr>
        <w:spacing w:after="0" w:line="240" w:lineRule="auto"/>
      </w:pPr>
      <w:r>
        <w:separator/>
      </w:r>
    </w:p>
  </w:endnote>
  <w:endnote w:type="continuationSeparator" w:id="0">
    <w:p w:rsidR="00DD42C3" w:rsidRDefault="00DD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C3" w:rsidRDefault="00DD42C3">
      <w:pPr>
        <w:spacing w:after="0" w:line="240" w:lineRule="auto"/>
      </w:pPr>
      <w:r>
        <w:separator/>
      </w:r>
    </w:p>
  </w:footnote>
  <w:footnote w:type="continuationSeparator" w:id="0">
    <w:p w:rsidR="00DD42C3" w:rsidRDefault="00DD42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1D7" w:rsidRDefault="00DE5827">
    <w:pPr>
      <w:pStyle w:val="Kopfzeile"/>
      <w:spacing w:after="360"/>
    </w:pPr>
    <w:r>
      <w:rPr>
        <w:noProof/>
        <w:lang w:eastAsia="de-CH"/>
      </w:rPr>
      <w:drawing>
        <wp:inline distT="0" distB="0" distL="0" distR="0">
          <wp:extent cx="2590800" cy="39624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39624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02"/>
    <w:rsid w:val="000031D7"/>
    <w:rsid w:val="00004000"/>
    <w:rsid w:val="00075902"/>
    <w:rsid w:val="000C3B63"/>
    <w:rsid w:val="00710202"/>
    <w:rsid w:val="00814EED"/>
    <w:rsid w:val="00826F3B"/>
    <w:rsid w:val="008B03EB"/>
    <w:rsid w:val="008C130E"/>
    <w:rsid w:val="00A62854"/>
    <w:rsid w:val="00AB5146"/>
    <w:rsid w:val="00C1784B"/>
    <w:rsid w:val="00DD42C3"/>
    <w:rsid w:val="00DE5827"/>
    <w:rsid w:val="00F776D0"/>
    <w:rsid w:val="00FC3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basedOn w:val="WW-Absatz-Standardschriftart"/>
  </w:style>
  <w:style w:type="character" w:customStyle="1" w:styleId="FuzeileZchn">
    <w:name w:val="Fußzeile Zchn"/>
    <w:basedOn w:val="WW-Absatz-Standardschriftar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spacing w:after="0" w:line="100" w:lineRule="atLeast"/>
    </w:pPr>
  </w:style>
  <w:style w:type="paragraph" w:styleId="Fuzeile">
    <w:name w:val="footer"/>
    <w:basedOn w:val="Standard"/>
    <w:semiHidden/>
    <w:pPr>
      <w:spacing w:after="0" w:line="100" w:lineRule="atLeast"/>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pPr>
      <w:spacing w:after="0" w:line="100" w:lineRule="atLeast"/>
    </w:pPr>
    <w:rPr>
      <w:rFonts w:ascii="Tahoma" w:hAnsi="Tahoma" w:cs="Tahoma"/>
      <w:sz w:val="16"/>
      <w:szCs w:val="16"/>
    </w:rPr>
  </w:style>
  <w:style w:type="character" w:styleId="Hyperlink">
    <w:name w:val="Hyperlink"/>
    <w:basedOn w:val="Absatz-Standardschriftart"/>
    <w:uiPriority w:val="99"/>
    <w:unhideWhenUsed/>
    <w:rsid w:val="00075902"/>
    <w:rPr>
      <w:color w:val="0563C1" w:themeColor="hyperlink"/>
      <w:u w:val="single"/>
    </w:rPr>
  </w:style>
  <w:style w:type="character" w:customStyle="1" w:styleId="UnresolvedMention">
    <w:name w:val="Unresolved Mention"/>
    <w:basedOn w:val="Absatz-Standardschriftart"/>
    <w:uiPriority w:val="99"/>
    <w:semiHidden/>
    <w:unhideWhenUsed/>
    <w:rsid w:val="000759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after="200" w:line="276" w:lineRule="auto"/>
    </w:pPr>
    <w:rPr>
      <w:rFonts w:ascii="Calibri" w:eastAsia="Calibri" w:hAnsi="Calibri" w:cs="Calibri"/>
      <w:sz w:val="22"/>
      <w:szCs w:val="22"/>
      <w:lang w:val="de-CH"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KopfzeileZchn">
    <w:name w:val="Kopfzeile Zchn"/>
    <w:basedOn w:val="WW-Absatz-Standardschriftart"/>
  </w:style>
  <w:style w:type="character" w:customStyle="1" w:styleId="FuzeileZchn">
    <w:name w:val="Fußzeile Zchn"/>
    <w:basedOn w:val="WW-Absatz-Standardschriftart"/>
  </w:style>
  <w:style w:type="character" w:customStyle="1" w:styleId="SprechblasentextZchn">
    <w:name w:val="Sprechblasentext Zchn"/>
    <w:rPr>
      <w:rFonts w:ascii="Tahoma" w:hAnsi="Tahoma" w:cs="Tahoma"/>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semiHidden/>
    <w:pPr>
      <w:spacing w:after="120"/>
    </w:pPr>
  </w:style>
  <w:style w:type="paragraph" w:styleId="Liste">
    <w:name w:val="List"/>
    <w:basedOn w:val="Textkrper"/>
    <w:semiHidden/>
    <w:rPr>
      <w:rFonts w:cs="Tahoma"/>
    </w:rPr>
  </w:style>
  <w:style w:type="paragraph" w:customStyle="1" w:styleId="Beschriftung1">
    <w:name w:val="Beschriftung1"/>
    <w:basedOn w:val="Standard"/>
    <w:pPr>
      <w:suppressLineNumbers/>
      <w:spacing w:before="120" w:after="120"/>
    </w:pPr>
    <w:rPr>
      <w:rFonts w:cs="Tahoma"/>
      <w:i/>
      <w:iCs/>
      <w:sz w:val="24"/>
      <w:szCs w:val="24"/>
    </w:rPr>
  </w:style>
  <w:style w:type="paragraph" w:customStyle="1" w:styleId="Verzeichnis">
    <w:name w:val="Verzeichnis"/>
    <w:basedOn w:val="Standard"/>
    <w:pPr>
      <w:suppressLineNumbers/>
    </w:pPr>
    <w:rPr>
      <w:rFonts w:cs="Tahoma"/>
    </w:rPr>
  </w:style>
  <w:style w:type="paragraph" w:styleId="Kopfzeile">
    <w:name w:val="header"/>
    <w:basedOn w:val="Standard"/>
    <w:semiHidden/>
    <w:pPr>
      <w:spacing w:after="0" w:line="100" w:lineRule="atLeast"/>
    </w:pPr>
  </w:style>
  <w:style w:type="paragraph" w:styleId="Fuzeile">
    <w:name w:val="footer"/>
    <w:basedOn w:val="Standard"/>
    <w:semiHidden/>
    <w:pPr>
      <w:spacing w:after="0" w:line="100" w:lineRule="atLeast"/>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styleId="Sprechblasentext">
    <w:name w:val="Balloon Text"/>
    <w:basedOn w:val="Standard"/>
    <w:pPr>
      <w:spacing w:after="0" w:line="100" w:lineRule="atLeast"/>
    </w:pPr>
    <w:rPr>
      <w:rFonts w:ascii="Tahoma" w:hAnsi="Tahoma" w:cs="Tahoma"/>
      <w:sz w:val="16"/>
      <w:szCs w:val="16"/>
    </w:rPr>
  </w:style>
  <w:style w:type="character" w:styleId="Hyperlink">
    <w:name w:val="Hyperlink"/>
    <w:basedOn w:val="Absatz-Standardschriftart"/>
    <w:uiPriority w:val="99"/>
    <w:unhideWhenUsed/>
    <w:rsid w:val="00075902"/>
    <w:rPr>
      <w:color w:val="0563C1" w:themeColor="hyperlink"/>
      <w:u w:val="single"/>
    </w:rPr>
  </w:style>
  <w:style w:type="character" w:customStyle="1" w:styleId="UnresolvedMention">
    <w:name w:val="Unresolved Mention"/>
    <w:basedOn w:val="Absatz-Standardschriftart"/>
    <w:uiPriority w:val="99"/>
    <w:semiHidden/>
    <w:unhideWhenUsed/>
    <w:rsid w:val="000759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F979FA9D</Template>
  <TotalTime>0</TotalTime>
  <Pages>2</Pages>
  <Words>696</Words>
  <Characters>4388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Liechtenstein</Company>
  <LinksUpToDate>false</LinksUpToDate>
  <CharactersWithSpaces>5074</CharactersWithSpaces>
  <SharedDoc>false</SharedDoc>
  <HLinks>
    <vt:vector size="6" baseType="variant">
      <vt:variant>
        <vt:i4>6946824</vt:i4>
      </vt:variant>
      <vt:variant>
        <vt:i4>0</vt:i4>
      </vt:variant>
      <vt:variant>
        <vt:i4>0</vt:i4>
      </vt:variant>
      <vt:variant>
        <vt:i4>5</vt:i4>
      </vt:variant>
      <vt:variant>
        <vt:lpwstr>mailto:Simon.Mangold@uni.li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Mangold</dc:creator>
  <cp:lastModifiedBy>Ferramosca Flavia</cp:lastModifiedBy>
  <cp:revision>2</cp:revision>
  <cp:lastPrinted>2019-02-22T09:29:00Z</cp:lastPrinted>
  <dcterms:created xsi:type="dcterms:W3CDTF">2019-02-22T09:29:00Z</dcterms:created>
  <dcterms:modified xsi:type="dcterms:W3CDTF">2019-02-22T09:29:00Z</dcterms:modified>
</cp:coreProperties>
</file>